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BF837E" w14:textId="77777777" w:rsidR="00186B91" w:rsidRDefault="00186B91" w:rsidP="00186B91">
      <w:pPr>
        <w:jc w:val="both"/>
        <w:rPr>
          <w:rFonts w:ascii="NewsGotT" w:hAnsi="NewsGotT"/>
          <w:b/>
          <w:sz w:val="28"/>
          <w:szCs w:val="28"/>
        </w:rPr>
      </w:pPr>
      <w:r>
        <w:rPr>
          <w:rFonts w:ascii="NewsGotT" w:hAnsi="NewsGotT"/>
          <w:b/>
          <w:sz w:val="28"/>
          <w:szCs w:val="28"/>
        </w:rPr>
        <w:t xml:space="preserve">4.23. Unidades Curriculares </w:t>
      </w:r>
    </w:p>
    <w:p w14:paraId="2E24753B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</w:p>
    <w:p w14:paraId="03DFEFAB" w14:textId="5F5BE922" w:rsidR="00634336" w:rsidRPr="00634336" w:rsidRDefault="00186B91" w:rsidP="00634336">
      <w:pPr>
        <w:pStyle w:val="Default"/>
        <w:rPr>
          <w:rFonts w:ascii="Arial" w:hAnsi="Arial" w:cs="Arial"/>
        </w:rPr>
      </w:pPr>
      <w:r>
        <w:rPr>
          <w:b/>
        </w:rPr>
        <w:t xml:space="preserve">Mapa III – </w:t>
      </w:r>
      <w:r w:rsidR="00E24512">
        <w:rPr>
          <w:b/>
          <w:color w:val="808080" w:themeColor="background1" w:themeShade="80"/>
        </w:rPr>
        <w:t>Atelier 2</w:t>
      </w:r>
      <w:r w:rsidR="00634336" w:rsidRPr="00634336">
        <w:rPr>
          <w:b/>
          <w:color w:val="808080" w:themeColor="background1" w:themeShade="80"/>
        </w:rPr>
        <w:t xml:space="preserve">A: </w:t>
      </w:r>
      <w:r w:rsidR="00E24512">
        <w:rPr>
          <w:b/>
          <w:color w:val="808080" w:themeColor="background1" w:themeShade="80"/>
        </w:rPr>
        <w:t>Paisagem</w:t>
      </w:r>
    </w:p>
    <w:p w14:paraId="188D6CA2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048D3E59" w14:textId="349BFCAD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4.23.1. Designação da unidade curricular (PT):</w:t>
      </w:r>
    </w:p>
    <w:p w14:paraId="5F3947E5" w14:textId="4FBA432E" w:rsidR="005F0F20" w:rsidRPr="005F0F20" w:rsidRDefault="00E24512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>Atelier 2</w:t>
      </w:r>
      <w:r w:rsidR="00634336" w:rsidRPr="00634336">
        <w:rPr>
          <w:rFonts w:ascii="NewsGotT" w:hAnsi="NewsGotT"/>
          <w:color w:val="808080" w:themeColor="background1" w:themeShade="80"/>
          <w:sz w:val="24"/>
          <w:szCs w:val="24"/>
        </w:rPr>
        <w:t xml:space="preserve">A: </w:t>
      </w:r>
      <w:r>
        <w:rPr>
          <w:rFonts w:ascii="NewsGotT" w:hAnsi="NewsGotT"/>
          <w:color w:val="808080" w:themeColor="background1" w:themeShade="80"/>
          <w:sz w:val="24"/>
          <w:szCs w:val="24"/>
        </w:rPr>
        <w:t>Paisagem</w:t>
      </w:r>
    </w:p>
    <w:p w14:paraId="6DEA7B20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635850DD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4.23.2. Sigla da área científica em que se insere (PT):</w:t>
      </w:r>
    </w:p>
    <w:p w14:paraId="6EAEE7F4" w14:textId="77777777" w:rsidR="005F0F20" w:rsidRDefault="005F0F20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>TR</w:t>
      </w:r>
    </w:p>
    <w:p w14:paraId="299A135D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16E5A53D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4.2.33. Duração (anual, semestral ou trimestral) (PT):</w:t>
      </w:r>
    </w:p>
    <w:p w14:paraId="0300CF75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. de 30 caracteres) </w:t>
      </w:r>
    </w:p>
    <w:p w14:paraId="3F1E8109" w14:textId="77777777" w:rsidR="003B5603" w:rsidRDefault="003B5603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</w:p>
    <w:p w14:paraId="75022CD3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4.23.4. Horas de trabalho (número total de horas de trabalho):</w:t>
      </w:r>
    </w:p>
    <w:p w14:paraId="6F7E8C77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. de 5 caracteres) </w:t>
      </w:r>
    </w:p>
    <w:p w14:paraId="64DFAE22" w14:textId="506472D7" w:rsidR="00186B91" w:rsidRPr="00CD41B5" w:rsidRDefault="003B5603" w:rsidP="00CD41B5">
      <w:pPr>
        <w:suppressAutoHyphens/>
        <w:adjustRightInd w:val="0"/>
        <w:rPr>
          <w:rFonts w:ascii="NewsGotT" w:eastAsia="Times New Roman" w:hAnsi="NewsGotT" w:cs="Times New Roman"/>
          <w:bCs/>
          <w:color w:val="70AD47" w:themeColor="accent6"/>
          <w:lang w:eastAsia="ar-SA"/>
        </w:rPr>
      </w:pP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[A preencher pelo </w:t>
      </w:r>
      <w:proofErr w:type="spellStart"/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cp</w:t>
      </w:r>
      <w:proofErr w:type="spellEnd"/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_ </w:t>
      </w:r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1 </w:t>
      </w:r>
      <w:proofErr w:type="spellStart"/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>ects</w:t>
      </w:r>
      <w:proofErr w:type="spellEnd"/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 </w:t>
      </w: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corresponde </w:t>
      </w:r>
      <w:proofErr w:type="gramStart"/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a </w:t>
      </w:r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 28</w:t>
      </w:r>
      <w:proofErr w:type="gramEnd"/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>h de trabalho autónomo</w:t>
      </w: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]</w:t>
      </w:r>
    </w:p>
    <w:p w14:paraId="742846C2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4.23.5. Horas de contacto:</w:t>
      </w:r>
    </w:p>
    <w:p w14:paraId="482F7CB5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(T-X; TP-X) 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>. de 150 caracteres)</w:t>
      </w:r>
    </w:p>
    <w:p w14:paraId="44E7A416" w14:textId="538E6804" w:rsidR="00CF1818" w:rsidRPr="00CD41B5" w:rsidRDefault="003B5603" w:rsidP="00CD41B5">
      <w:pPr>
        <w:suppressAutoHyphens/>
        <w:adjustRightInd w:val="0"/>
        <w:rPr>
          <w:rFonts w:ascii="NewsGotT" w:eastAsia="Times New Roman" w:hAnsi="NewsGotT" w:cs="Times New Roman"/>
          <w:bCs/>
          <w:color w:val="70AD47" w:themeColor="accent6"/>
          <w:lang w:eastAsia="ar-SA"/>
        </w:rPr>
      </w:pP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[</w:t>
      </w:r>
      <w:r w:rsidR="00CF1818" w:rsidRPr="00CD41B5">
        <w:rPr>
          <w:rFonts w:ascii="NewsGotT" w:eastAsia="Times New Roman" w:hAnsi="NewsGotT" w:cs="Times New Roman"/>
          <w:bCs/>
          <w:color w:val="70AD47" w:themeColor="accent6"/>
          <w:lang w:eastAsia="ar-SA"/>
        </w:rPr>
        <w:t>Nº horas semanais x 15 semanas</w:t>
      </w: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]</w:t>
      </w:r>
    </w:p>
    <w:p w14:paraId="60D00BE3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</w:p>
    <w:p w14:paraId="2864DF07" w14:textId="77777777" w:rsidR="00186B91" w:rsidRDefault="00186B91" w:rsidP="00186B91">
      <w:pPr>
        <w:jc w:val="both"/>
        <w:rPr>
          <w:rFonts w:ascii="NewsGotT" w:hAnsi="NewsGotT"/>
          <w:b/>
          <w:bCs/>
          <w:sz w:val="24"/>
          <w:szCs w:val="24"/>
        </w:rPr>
      </w:pPr>
      <w:r>
        <w:rPr>
          <w:rFonts w:ascii="NewsGotT" w:hAnsi="NewsGotT"/>
          <w:b/>
          <w:bCs/>
          <w:sz w:val="24"/>
          <w:szCs w:val="24"/>
        </w:rPr>
        <w:t>4.23.6. % Horas de contacto a distância:</w:t>
      </w:r>
    </w:p>
    <w:p w14:paraId="40CCE809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>. de 3 caracteres)</w:t>
      </w:r>
    </w:p>
    <w:p w14:paraId="37030ACD" w14:textId="0159F65D" w:rsidR="00E614CD" w:rsidRDefault="003B5603" w:rsidP="00227A2D">
      <w:pPr>
        <w:suppressAutoHyphens/>
        <w:adjustRightInd w:val="0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[</w:t>
      </w:r>
      <w:r w:rsidR="00E614CD" w:rsidRPr="00227A2D">
        <w:rPr>
          <w:rFonts w:ascii="NewsGotT" w:eastAsia="Times New Roman" w:hAnsi="NewsGotT" w:cs="Times New Roman"/>
          <w:bCs/>
          <w:color w:val="70AD47" w:themeColor="accent6"/>
          <w:lang w:eastAsia="ar-SA"/>
        </w:rPr>
        <w:t>Não aplicável</w:t>
      </w:r>
      <w:r>
        <w:rPr>
          <w:rFonts w:ascii="NewsGotT" w:eastAsia="Times New Roman" w:hAnsi="NewsGotT" w:cs="Times New Roman"/>
          <w:bCs/>
          <w:color w:val="70AD47" w:themeColor="accent6"/>
          <w:lang w:eastAsia="ar-SA"/>
        </w:rPr>
        <w:t>]</w:t>
      </w:r>
    </w:p>
    <w:p w14:paraId="0FEE689B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482FB2C9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4.23.7. Créditos ECTS:</w:t>
      </w:r>
    </w:p>
    <w:p w14:paraId="68EAB6DD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. de 3 caracteres) </w:t>
      </w:r>
    </w:p>
    <w:p w14:paraId="0F762111" w14:textId="1521A294" w:rsidR="00186B91" w:rsidRPr="003B5603" w:rsidRDefault="003B5603" w:rsidP="003B5603">
      <w:pPr>
        <w:suppressAutoHyphens/>
        <w:adjustRightInd w:val="0"/>
        <w:rPr>
          <w:rFonts w:ascii="NewsGotT" w:eastAsia="Times New Roman" w:hAnsi="NewsGotT" w:cs="Times New Roman"/>
          <w:bCs/>
          <w:color w:val="70AD47" w:themeColor="accent6"/>
          <w:lang w:eastAsia="ar-SA"/>
        </w:rPr>
      </w:pPr>
      <w:r w:rsidRPr="003B5603">
        <w:rPr>
          <w:rFonts w:ascii="NewsGotT" w:eastAsia="Times New Roman" w:hAnsi="NewsGotT" w:cs="Times New Roman"/>
          <w:bCs/>
          <w:color w:val="70AD47" w:themeColor="accent6"/>
          <w:lang w:eastAsia="ar-SA"/>
        </w:rPr>
        <w:t>[a preencher pelo CP]</w:t>
      </w:r>
    </w:p>
    <w:p w14:paraId="41DF486A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 xml:space="preserve">4.23.8. Docente responsável e respetiva carga letiva na Unidade Curricular: </w:t>
      </w:r>
    </w:p>
    <w:p w14:paraId="2DE9F009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(X T + X TP) </w:t>
      </w:r>
    </w:p>
    <w:p w14:paraId="02AA67D5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5E5E12B2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4.23.9. Outros docentes e respetivas cargas letivas na unidade curricular:</w:t>
      </w:r>
    </w:p>
    <w:p w14:paraId="5A0018F9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Preenchimento obrigatório para submissão na reunião da CPSA  </w:t>
      </w:r>
    </w:p>
    <w:p w14:paraId="6BD21BA6" w14:textId="632E6FD4" w:rsidR="00E614CD" w:rsidRPr="00FF1F73" w:rsidRDefault="00E614CD" w:rsidP="00FF1F73">
      <w:pPr>
        <w:suppressAutoHyphens/>
        <w:spacing w:line="264" w:lineRule="auto"/>
        <w:jc w:val="both"/>
        <w:rPr>
          <w:rFonts w:ascii="NewsGotT" w:eastAsia="Times New Roman" w:hAnsi="NewsGotT" w:cs="Times New Roman"/>
          <w:bCs/>
          <w:color w:val="70AD47" w:themeColor="accent6"/>
          <w:lang w:eastAsia="ar-SA"/>
        </w:rPr>
      </w:pPr>
      <w:r w:rsidRPr="00FF1F73">
        <w:rPr>
          <w:rFonts w:ascii="NewsGotT" w:eastAsia="Times New Roman" w:hAnsi="NewsGotT" w:cs="Times New Roman"/>
          <w:bCs/>
          <w:color w:val="70AD47" w:themeColor="accent6"/>
          <w:lang w:eastAsia="ar-SA"/>
        </w:rPr>
        <w:t>[atenção à distribuição da carga letiva pelo</w:t>
      </w:r>
      <w:r w:rsidR="00FF1F73" w:rsidRPr="00FF1F73">
        <w:rPr>
          <w:rFonts w:ascii="NewsGotT" w:eastAsia="Times New Roman" w:hAnsi="NewsGotT" w:cs="Times New Roman"/>
          <w:bCs/>
          <w:color w:val="70AD47" w:themeColor="accent6"/>
          <w:lang w:eastAsia="ar-SA"/>
        </w:rPr>
        <w:t xml:space="preserve"> nº de turnos]</w:t>
      </w:r>
    </w:p>
    <w:p w14:paraId="50CADEEC" w14:textId="77777777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7E85B976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4.23.10. Objetivos de aprendizagem e a sua compatibilidade com o método de ensino (conhecimentos, aptidões e competências a desenvolver pelos estudantes) (PT):</w:t>
      </w:r>
    </w:p>
    <w:p w14:paraId="7115670D" w14:textId="77777777" w:rsidR="007342DD" w:rsidRPr="007342DD" w:rsidRDefault="007342DD" w:rsidP="007342DD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Atelier 2A propõe a reflexão sobre da paisagem e a sua transformação a partir dos processos naturais, de modo a incrementar o potencial ecológico dos lugares. Assume-se a paisagem enquanto método capaz de compatibilizar a construção de uma narrativa própria e a especulação do desenvolvimento de novos campos de relações e processos no lugar.</w:t>
      </w:r>
    </w:p>
    <w:p w14:paraId="12BD1463" w14:textId="11B97964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Pretende-se que os estudantes sejam capazes de:</w:t>
      </w:r>
    </w:p>
    <w:p w14:paraId="7AC3E617" w14:textId="77777777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- Selecionar ferramentas de investigação específica em paisagem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Analisar a complexidade do lugar e interpretar os elementos, os processos, as dinâmicas e as lógicas relacionais que caracterizam a paisagem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Formular uma estratégia de intervenção definindo ações que ativem o potencial latente da paisagem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Considerar o tempo, a gestão e as técnicas na transformação da paisagem</w:t>
      </w:r>
    </w:p>
    <w:p w14:paraId="485EEF2D" w14:textId="44937A2F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lastRenderedPageBreak/>
        <w:t>- Resolver um âmbito de atuação e explorar a sua representação através de peças desenhadas, escritas, modelos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e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 imagens</w:t>
      </w:r>
    </w:p>
    <w:p w14:paraId="3CA4A658" w14:textId="3A8129DE" w:rsidR="001C2E2E" w:rsidRPr="001C2E2E" w:rsidRDefault="001C2E2E" w:rsidP="001C2E2E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1C2E2E">
        <w:rPr>
          <w:rFonts w:ascii="NewsGotT" w:hAnsi="NewsGotT"/>
          <w:color w:val="808080" w:themeColor="background1" w:themeShade="80"/>
          <w:sz w:val="24"/>
          <w:szCs w:val="24"/>
        </w:rPr>
        <w:t xml:space="preserve">- Explicar e argumentar sobre o exercício </w:t>
      </w:r>
      <w:proofErr w:type="spellStart"/>
      <w:r w:rsidRPr="001C2E2E">
        <w:rPr>
          <w:rFonts w:ascii="NewsGotT" w:hAnsi="NewsGotT"/>
          <w:color w:val="808080" w:themeColor="background1" w:themeShade="80"/>
          <w:sz w:val="24"/>
          <w:szCs w:val="24"/>
        </w:rPr>
        <w:t>projetual</w:t>
      </w:r>
      <w:proofErr w:type="spellEnd"/>
      <w:r w:rsidRPr="001C2E2E">
        <w:rPr>
          <w:rFonts w:ascii="NewsGotT" w:hAnsi="NewsGotT"/>
          <w:color w:val="808080" w:themeColor="background1" w:themeShade="80"/>
          <w:sz w:val="24"/>
          <w:szCs w:val="24"/>
        </w:rPr>
        <w:t xml:space="preserve"> realizado evidenciando o saber urbanístico/paisagístico</w:t>
      </w:r>
    </w:p>
    <w:p w14:paraId="6F376EDA" w14:textId="77777777" w:rsidR="001C2E2E" w:rsidRPr="007342DD" w:rsidRDefault="001C2E2E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</w:p>
    <w:p w14:paraId="77341CAA" w14:textId="3EB32C94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</w:p>
    <w:p w14:paraId="253C9DCB" w14:textId="77777777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4.23.11. Conteúdos programáticos (PT):</w:t>
      </w:r>
    </w:p>
    <w:p w14:paraId="1797053C" w14:textId="77777777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- A Paisagem enquanto método</w:t>
      </w:r>
    </w:p>
    <w:p w14:paraId="17B084D3" w14:textId="77777777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- Observação, análise e interpretação da paisagem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Água, vegetação, solo</w:t>
      </w:r>
    </w:p>
    <w:p w14:paraId="69E444B4" w14:textId="24460E51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- </w:t>
      </w:r>
      <w:r w:rsidR="0019105B" w:rsidRPr="0019105B">
        <w:rPr>
          <w:rFonts w:ascii="NewsGotT" w:hAnsi="NewsGotT"/>
          <w:color w:val="808080" w:themeColor="background1" w:themeShade="80"/>
          <w:sz w:val="24"/>
          <w:szCs w:val="24"/>
        </w:rPr>
        <w:t>Processos naturais, dinâmicas e as lógicas relacionais</w:t>
      </w:r>
    </w:p>
    <w:p w14:paraId="752C941D" w14:textId="77777777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- </w:t>
      </w:r>
      <w:proofErr w:type="gramStart"/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Estratégias e métodos</w:t>
      </w:r>
      <w:proofErr w:type="gramEnd"/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 de atuação</w:t>
      </w:r>
    </w:p>
    <w:p w14:paraId="4A3B1DDC" w14:textId="2D7EEB41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- Processos</w:t>
      </w:r>
      <w:r w:rsidR="00F91876">
        <w:rPr>
          <w:rFonts w:ascii="NewsGotT" w:hAnsi="NewsGotT"/>
          <w:color w:val="808080" w:themeColor="background1" w:themeShade="80"/>
          <w:sz w:val="24"/>
          <w:szCs w:val="24"/>
        </w:rPr>
        <w:t>,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="00962055">
        <w:rPr>
          <w:rFonts w:ascii="NewsGotT" w:hAnsi="NewsGotT"/>
          <w:color w:val="808080" w:themeColor="background1" w:themeShade="80"/>
          <w:sz w:val="24"/>
          <w:szCs w:val="24"/>
        </w:rPr>
        <w:t xml:space="preserve">programas, 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gestão e técnicas meio-ambientais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Tempos e escalas. Transversalidade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br/>
        <w:t>- Agentes e</w:t>
      </w:r>
      <w:r w:rsidR="00AC2C0A">
        <w:rPr>
          <w:rFonts w:ascii="NewsGotT" w:hAnsi="NewsGotT"/>
          <w:color w:val="808080" w:themeColor="background1" w:themeShade="80"/>
          <w:sz w:val="24"/>
          <w:szCs w:val="24"/>
        </w:rPr>
        <w:t xml:space="preserve"> usuários</w:t>
      </w:r>
      <w:r w:rsidR="00AC2C0A">
        <w:rPr>
          <w:rFonts w:ascii="NewsGotT" w:hAnsi="NewsGotT"/>
          <w:color w:val="808080" w:themeColor="background1" w:themeShade="80"/>
          <w:sz w:val="24"/>
          <w:szCs w:val="24"/>
        </w:rPr>
        <w:br/>
        <w:t>- Construção, m</w:t>
      </w: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>edida, comunicação e perceção</w:t>
      </w:r>
    </w:p>
    <w:p w14:paraId="58F56E8A" w14:textId="0592FC4D" w:rsidR="007342DD" w:rsidRPr="007342DD" w:rsidRDefault="007342DD" w:rsidP="007342DD">
      <w:pPr>
        <w:rPr>
          <w:rFonts w:ascii="NewsGotT" w:hAnsi="NewsGotT"/>
          <w:color w:val="808080" w:themeColor="background1" w:themeShade="80"/>
          <w:sz w:val="24"/>
          <w:szCs w:val="24"/>
        </w:rPr>
      </w:pPr>
      <w:r w:rsidRPr="007342DD">
        <w:rPr>
          <w:rFonts w:ascii="NewsGotT" w:hAnsi="NewsGotT"/>
          <w:color w:val="808080" w:themeColor="background1" w:themeShade="80"/>
          <w:sz w:val="24"/>
          <w:szCs w:val="24"/>
        </w:rPr>
        <w:t xml:space="preserve">- Representação. </w:t>
      </w:r>
      <w:r w:rsidR="00464ECE" w:rsidRPr="00962055">
        <w:rPr>
          <w:rFonts w:ascii="NewsGotT" w:hAnsi="NewsGotT"/>
          <w:color w:val="808080" w:themeColor="background1" w:themeShade="80"/>
          <w:sz w:val="24"/>
          <w:szCs w:val="24"/>
        </w:rPr>
        <w:t>Mapear e cartografar</w:t>
      </w:r>
    </w:p>
    <w:p w14:paraId="1D37CAB4" w14:textId="77777777" w:rsidR="00E5690A" w:rsidRDefault="00E5690A" w:rsidP="00186B91">
      <w:pPr>
        <w:jc w:val="both"/>
        <w:rPr>
          <w:rFonts w:ascii="NewsGotT" w:hAnsi="NewsGotT"/>
          <w:sz w:val="24"/>
          <w:szCs w:val="24"/>
        </w:rPr>
      </w:pPr>
    </w:p>
    <w:p w14:paraId="2694A00F" w14:textId="3F47330A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4.23.12. Demonstração da coerência dos conteúdos programáticos com os objetivos de aprendizagem da unidade curricular (PT):</w:t>
      </w:r>
      <w:r>
        <w:rPr>
          <w:rFonts w:ascii="NewsGotT" w:hAnsi="NewsGotT"/>
          <w:sz w:val="24"/>
          <w:szCs w:val="24"/>
        </w:rPr>
        <w:t xml:space="preserve"> </w:t>
      </w:r>
    </w:p>
    <w:p w14:paraId="0BA294E7" w14:textId="2912F67D" w:rsidR="00A83FA7" w:rsidRDefault="0019105B" w:rsidP="0019105B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>Os conteúdos programáticos servem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os obje</w:t>
      </w: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 xml:space="preserve">tivos da unidade curricular na medida em que, por um lado, permitem confrontar os estudantes com a reflexão sobre as problemáticas da intervenção na paisagem para que estes descubram novas possibilidades de intervenção disciplinar que transcendem o desenho urbano tradicional. E por outro, promovem uma aproximação 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metodológica </w:t>
      </w: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>ao processo de investigação do pró</w:t>
      </w:r>
      <w:r>
        <w:rPr>
          <w:rFonts w:ascii="NewsGotT" w:hAnsi="NewsGotT"/>
          <w:color w:val="808080" w:themeColor="background1" w:themeShade="80"/>
          <w:sz w:val="24"/>
          <w:szCs w:val="24"/>
        </w:rPr>
        <w:t>prio</w:t>
      </w: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 xml:space="preserve"> projeto de arquitetura da paisagem </w:t>
      </w:r>
      <w:r w:rsidR="00962055">
        <w:rPr>
          <w:rFonts w:ascii="NewsGotT" w:hAnsi="NewsGotT"/>
          <w:color w:val="808080" w:themeColor="background1" w:themeShade="80"/>
          <w:sz w:val="24"/>
          <w:szCs w:val="24"/>
        </w:rPr>
        <w:t>por forma a</w:t>
      </w: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 xml:space="preserve"> desenvolver a autonomia dos estudantes face à seleção das ferramentas </w:t>
      </w:r>
      <w:r w:rsidR="00A83FA7">
        <w:rPr>
          <w:rFonts w:ascii="NewsGotT" w:hAnsi="NewsGotT"/>
          <w:color w:val="808080" w:themeColor="background1" w:themeShade="80"/>
          <w:sz w:val="24"/>
          <w:szCs w:val="24"/>
        </w:rPr>
        <w:t xml:space="preserve">e instrumentos </w:t>
      </w:r>
    </w:p>
    <w:p w14:paraId="7F73E2FF" w14:textId="3E48D866" w:rsidR="0019105B" w:rsidRPr="0019105B" w:rsidRDefault="0019105B" w:rsidP="0019105B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19105B">
        <w:rPr>
          <w:rFonts w:ascii="NewsGotT" w:hAnsi="NewsGotT"/>
          <w:color w:val="808080" w:themeColor="background1" w:themeShade="80"/>
          <w:sz w:val="24"/>
          <w:szCs w:val="24"/>
        </w:rPr>
        <w:t xml:space="preserve">de investigação, à análise e interpretação, à formulação de estratégias e modos de atuação com vista à construção, representação e comunicação do projeto. </w:t>
      </w:r>
    </w:p>
    <w:p w14:paraId="362BEDD5" w14:textId="0AE0B29B" w:rsidR="00962055" w:rsidRDefault="00962055" w:rsidP="00186B91">
      <w:pPr>
        <w:jc w:val="both"/>
        <w:rPr>
          <w:rFonts w:ascii="NewsGotT" w:hAnsi="NewsGotT"/>
          <w:sz w:val="24"/>
          <w:szCs w:val="24"/>
        </w:rPr>
      </w:pPr>
    </w:p>
    <w:p w14:paraId="69BA09D8" w14:textId="38EEBCE5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4.23.13. Metodologias de ensino e de aprendizagem específicas da unidade curricular articuladas com o modelo pedagógico (PT):</w:t>
      </w:r>
    </w:p>
    <w:p w14:paraId="1BD6CE24" w14:textId="390B8B03" w:rsidR="001A3DE7" w:rsidRPr="00F22B26" w:rsidRDefault="001A3DE7" w:rsidP="00CD3ACB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F22B26">
        <w:rPr>
          <w:rFonts w:ascii="NewsGotT" w:hAnsi="NewsGotT"/>
          <w:color w:val="808080" w:themeColor="background1" w:themeShade="80"/>
          <w:sz w:val="24"/>
          <w:szCs w:val="24"/>
        </w:rPr>
        <w:t xml:space="preserve">Ensino prático/laboratorial com acompanhamento de grupo, individual e coletivo. </w:t>
      </w:r>
    </w:p>
    <w:p w14:paraId="282CC53F" w14:textId="0C91ADA4" w:rsidR="001A3DE7" w:rsidRPr="00F22B26" w:rsidRDefault="001A3DE7" w:rsidP="00CD3ACB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F22B26">
        <w:rPr>
          <w:rFonts w:ascii="NewsGotT" w:hAnsi="NewsGotT"/>
          <w:color w:val="808080" w:themeColor="background1" w:themeShade="80"/>
          <w:sz w:val="24"/>
          <w:szCs w:val="24"/>
        </w:rPr>
        <w:t>Elaboração de um exercício prático, a desenvolver em grupo e individualmente, em três fases: Análise, Estratégia e Intervenção.  Elaboração de sínteses de cada fase através da realização de pontos de situação e de entregas formais, com apresentação e discussão no coletivo da turma e convidados. Realização de sessões de debate, aulas teóricas (</w:t>
      </w:r>
      <w:r w:rsidRPr="004B784A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in </w:t>
      </w:r>
      <w:proofErr w:type="spellStart"/>
      <w:r w:rsidRPr="004B784A">
        <w:rPr>
          <w:rFonts w:ascii="NewsGotT" w:hAnsi="NewsGotT"/>
          <w:i/>
          <w:color w:val="808080" w:themeColor="background1" w:themeShade="80"/>
          <w:sz w:val="24"/>
          <w:szCs w:val="24"/>
        </w:rPr>
        <w:t>situ</w:t>
      </w:r>
      <w:proofErr w:type="spellEnd"/>
      <w:r w:rsidRPr="00F22B26">
        <w:rPr>
          <w:rFonts w:ascii="NewsGotT" w:hAnsi="NewsGotT"/>
          <w:color w:val="808080" w:themeColor="background1" w:themeShade="80"/>
          <w:sz w:val="24"/>
          <w:szCs w:val="24"/>
        </w:rPr>
        <w:t xml:space="preserve"> ou na sala) sobre temas decorrentes do desenvolvimento do exercício, com convidados de diferentes áreas disciplinares.</w:t>
      </w:r>
      <w:r w:rsidR="00CD3ACB" w:rsidRPr="00F22B26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Pr="00F22B26">
        <w:rPr>
          <w:rFonts w:ascii="NewsGotT" w:hAnsi="NewsGotT"/>
          <w:color w:val="808080" w:themeColor="background1" w:themeShade="80"/>
          <w:sz w:val="24"/>
          <w:szCs w:val="24"/>
        </w:rPr>
        <w:t>Sessões de trabalho de campo ao longo das fases do exercício.</w:t>
      </w:r>
      <w:r w:rsidR="00CD3ACB" w:rsidRPr="00F22B26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Pr="00F22B26">
        <w:rPr>
          <w:rFonts w:ascii="NewsGotT" w:hAnsi="NewsGotT"/>
          <w:color w:val="808080" w:themeColor="background1" w:themeShade="80"/>
          <w:sz w:val="24"/>
          <w:szCs w:val="24"/>
        </w:rPr>
        <w:t xml:space="preserve">Articulação com a UC de Seminário 2A: Paisagem Cultural, visando incrementar a visão holística do objeto de estudo e dos métodos e técnicas de análise e intervenção. </w:t>
      </w:r>
    </w:p>
    <w:p w14:paraId="3DD30705" w14:textId="243E8247" w:rsidR="00C77F5E" w:rsidRPr="00C77F5E" w:rsidRDefault="00C77F5E" w:rsidP="00C77F5E">
      <w:pPr>
        <w:rPr>
          <w:rFonts w:ascii="NewsGotT" w:hAnsi="NewsGotT"/>
          <w:color w:val="FF0000"/>
          <w:sz w:val="24"/>
          <w:szCs w:val="24"/>
        </w:rPr>
      </w:pPr>
    </w:p>
    <w:p w14:paraId="571ED942" w14:textId="40714D39" w:rsidR="00186B91" w:rsidRDefault="00186B91" w:rsidP="00186B91">
      <w:pPr>
        <w:jc w:val="both"/>
        <w:rPr>
          <w:rFonts w:ascii="NewsGotT" w:hAnsi="NewsGotT"/>
          <w:b/>
          <w:bCs/>
          <w:sz w:val="24"/>
          <w:szCs w:val="24"/>
        </w:rPr>
      </w:pPr>
      <w:r>
        <w:rPr>
          <w:rFonts w:ascii="NewsGotT" w:hAnsi="NewsGotT"/>
          <w:b/>
          <w:bCs/>
          <w:sz w:val="24"/>
          <w:szCs w:val="24"/>
        </w:rPr>
        <w:t>4.23.14. Avaliação (PT):</w:t>
      </w:r>
    </w:p>
    <w:p w14:paraId="1B2454F9" w14:textId="18BDEBC5" w:rsidR="00AC03FA" w:rsidRPr="00ED1CC7" w:rsidRDefault="00AC03FA" w:rsidP="00AC03FA">
      <w:pPr>
        <w:pStyle w:val="NormalWeb"/>
        <w:spacing w:before="0" w:beforeAutospacing="0" w:after="0" w:afterAutospacing="0"/>
        <w:jc w:val="both"/>
        <w:rPr>
          <w:rFonts w:ascii="NewsGotT" w:eastAsia="Calibri" w:hAnsi="NewsGotT" w:cs="Calibri"/>
          <w:color w:val="808080" w:themeColor="background1" w:themeShade="80"/>
          <w:lang w:eastAsia="en-US"/>
        </w:rPr>
      </w:pP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O sistema de avaliação</w:t>
      </w:r>
      <w:r w:rsidR="004B784A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é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contínuo. </w:t>
      </w:r>
      <w:r w:rsidR="004B784A">
        <w:rPr>
          <w:rFonts w:ascii="NewsGotT" w:eastAsia="Calibri" w:hAnsi="NewsGotT" w:cs="Calibri"/>
          <w:color w:val="808080" w:themeColor="background1" w:themeShade="80"/>
          <w:lang w:eastAsia="en-US"/>
        </w:rPr>
        <w:t>A avaliação tem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como base as sessões de acompanhamento dos trabalhos assim como a sua exposição coletiva e entregas formais. Os pontos de situação e as entregas formais pressupõem a apresentação oral e gráfica dos trabalhos. S</w:t>
      </w:r>
      <w:r w:rsidR="00C52604">
        <w:rPr>
          <w:rFonts w:ascii="NewsGotT" w:eastAsia="Calibri" w:hAnsi="NewsGotT" w:cs="Calibri"/>
          <w:color w:val="808080" w:themeColor="background1" w:themeShade="80"/>
          <w:lang w:eastAsia="en-US"/>
        </w:rPr>
        <w:t>ão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atribuídas classificações no final de cada entrega formal do exercício, sendo a nota final resultado da síntese do aproveitamento do semestre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</w:t>
      </w:r>
      <w:r w:rsidR="005A1386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–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80%.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A assistência e a participação dos alunos nas aulas</w:t>
      </w:r>
      <w:r w:rsidR="005A1386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conta</w:t>
      </w:r>
      <w:r w:rsidR="00C52604">
        <w:rPr>
          <w:rFonts w:ascii="NewsGotT" w:eastAsia="Calibri" w:hAnsi="NewsGotT" w:cs="Calibri"/>
          <w:color w:val="808080" w:themeColor="background1" w:themeShade="80"/>
          <w:lang w:eastAsia="en-US"/>
        </w:rPr>
        <w:t>m</w:t>
      </w:r>
      <w:r w:rsidR="005A1386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para a avaliação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– 20%.  </w:t>
      </w:r>
      <w:r w:rsidR="00C52604">
        <w:rPr>
          <w:rFonts w:ascii="NewsGotT" w:eastAsia="Calibri" w:hAnsi="NewsGotT" w:cs="Calibri"/>
          <w:color w:val="808080" w:themeColor="background1" w:themeShade="80"/>
          <w:lang w:eastAsia="en-US"/>
        </w:rPr>
        <w:t>É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obrigatória a assistência a 2/3 das aulas previstas. 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A não assistência 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lastRenderedPageBreak/>
        <w:t xml:space="preserve">às aulas, as 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entrega</w:t>
      </w:r>
      <w:r w:rsidR="00FA123F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s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fora de prazo ou a não apresentação oral e gráfica do trabalho, quando não devidamente justificados, implica</w:t>
      </w:r>
      <w:r w:rsidR="005A1386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rá</w:t>
      </w:r>
      <w:r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a classificação de reprovado </w:t>
      </w:r>
      <w:r w:rsidR="005A1386" w:rsidRPr="00ED1CC7">
        <w:rPr>
          <w:rFonts w:ascii="NewsGotT" w:eastAsia="Calibri" w:hAnsi="NewsGotT" w:cs="Calibri"/>
          <w:color w:val="808080" w:themeColor="background1" w:themeShade="80"/>
          <w:lang w:eastAsia="en-US"/>
        </w:rPr>
        <w:t>à UC.</w:t>
      </w:r>
      <w:r w:rsidR="00C52604">
        <w:rPr>
          <w:rFonts w:ascii="NewsGotT" w:eastAsia="Calibri" w:hAnsi="NewsGotT" w:cs="Calibri"/>
          <w:color w:val="808080" w:themeColor="background1" w:themeShade="80"/>
          <w:lang w:eastAsia="en-US"/>
        </w:rPr>
        <w:t xml:space="preserve"> </w:t>
      </w:r>
    </w:p>
    <w:p w14:paraId="79BFB4ED" w14:textId="490AB1D1" w:rsidR="00261D41" w:rsidRDefault="00261D4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</w:p>
    <w:p w14:paraId="1F592ECF" w14:textId="5831E4E3" w:rsidR="00186B91" w:rsidRDefault="00186B91" w:rsidP="00186B91">
      <w:pPr>
        <w:jc w:val="both"/>
        <w:rPr>
          <w:rFonts w:ascii="NewsGotT" w:hAnsi="NewsGotT"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4.23.15. Demonstração da coerência das metodologias de ensino e avaliação com os objetivos de aprendizagem da unidade curricular (PT):</w:t>
      </w:r>
      <w:r>
        <w:rPr>
          <w:rFonts w:ascii="NewsGotT" w:hAnsi="NewsGotT"/>
          <w:sz w:val="24"/>
          <w:szCs w:val="24"/>
        </w:rPr>
        <w:t xml:space="preserve"> </w:t>
      </w:r>
    </w:p>
    <w:p w14:paraId="5822840C" w14:textId="43F6F0AA" w:rsidR="00D0558F" w:rsidRPr="00ED1CC7" w:rsidRDefault="00974807" w:rsidP="00ED1CC7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As metodologias de ensino e avaliação visam instigar a construção de um posicionamento critico perante a Paisagem </w:t>
      </w:r>
      <w:r w:rsidR="004F56CB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e a sua transformação. </w:t>
      </w:r>
    </w:p>
    <w:p w14:paraId="42C00EF7" w14:textId="0738E939" w:rsidR="007702CB" w:rsidRPr="00ED1CC7" w:rsidRDefault="00D0558F" w:rsidP="00ED1CC7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Cada 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fase </w:t>
      </w:r>
      <w:r w:rsidR="003E4914">
        <w:rPr>
          <w:rFonts w:ascii="NewsGotT" w:hAnsi="NewsGotT"/>
          <w:color w:val="808080" w:themeColor="background1" w:themeShade="80"/>
          <w:sz w:val="24"/>
          <w:szCs w:val="24"/>
        </w:rPr>
        <w:t>será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 destinada à exploração de distintas ferramentas de investigação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e representação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 para desenvolver 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e fundamentar 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 xml:space="preserve">o </w:t>
      </w:r>
      <w:r w:rsidR="00ED1CC7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todo 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>d</w:t>
      </w:r>
      <w:r w:rsidR="00ED1CC7" w:rsidRPr="00ED1CC7">
        <w:rPr>
          <w:rFonts w:ascii="NewsGotT" w:hAnsi="NewsGotT"/>
          <w:color w:val="808080" w:themeColor="background1" w:themeShade="80"/>
          <w:sz w:val="24"/>
          <w:szCs w:val="24"/>
        </w:rPr>
        <w:t>o projeto</w:t>
      </w:r>
      <w:r w:rsidR="00BC1757" w:rsidRPr="00ED1CC7">
        <w:rPr>
          <w:rFonts w:ascii="NewsGotT" w:hAnsi="NewsGotT"/>
          <w:color w:val="808080" w:themeColor="background1" w:themeShade="80"/>
          <w:sz w:val="24"/>
          <w:szCs w:val="24"/>
        </w:rPr>
        <w:t>.</w:t>
      </w:r>
      <w:r w:rsidR="00974807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Cada fase implica</w:t>
      </w:r>
      <w:r w:rsidR="003E4914">
        <w:rPr>
          <w:rFonts w:ascii="NewsGotT" w:hAnsi="NewsGotT"/>
          <w:color w:val="808080" w:themeColor="background1" w:themeShade="80"/>
          <w:sz w:val="24"/>
          <w:szCs w:val="24"/>
        </w:rPr>
        <w:t>rá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 xml:space="preserve">a elaboração, a entrega 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>e a apresentação</w:t>
      </w:r>
      <w:r w:rsidR="00844BDB">
        <w:rPr>
          <w:rFonts w:ascii="NewsGotT" w:hAnsi="NewsGotT"/>
          <w:color w:val="808080" w:themeColor="background1" w:themeShade="80"/>
          <w:sz w:val="24"/>
          <w:szCs w:val="24"/>
        </w:rPr>
        <w:t xml:space="preserve"> coletiva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 de </w:t>
      </w:r>
      <w:r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um documento 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que registe o processo </w:t>
      </w:r>
      <w:r w:rsidR="00A86295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de investigação 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 xml:space="preserve">utilizando todo o material </w:t>
      </w:r>
      <w:r w:rsidR="00844BDB">
        <w:rPr>
          <w:rFonts w:ascii="NewsGotT" w:hAnsi="NewsGotT"/>
          <w:color w:val="808080" w:themeColor="background1" w:themeShade="80"/>
          <w:sz w:val="24"/>
          <w:szCs w:val="24"/>
        </w:rPr>
        <w:t xml:space="preserve">que o estudante julgue </w:t>
      </w:r>
      <w:r w:rsidRPr="008F5429">
        <w:rPr>
          <w:rFonts w:ascii="NewsGotT" w:hAnsi="NewsGotT"/>
          <w:color w:val="808080" w:themeColor="background1" w:themeShade="80"/>
          <w:sz w:val="24"/>
          <w:szCs w:val="24"/>
        </w:rPr>
        <w:t>necessário para uma comunicação gráfica eficiente (desenhos, gráficos, organigramas, fotografias, cartografia própria, esquemas, vídeo, etc.)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. </w:t>
      </w:r>
      <w:r w:rsidR="00844BDB">
        <w:rPr>
          <w:rFonts w:ascii="NewsGotT" w:hAnsi="NewsGotT"/>
          <w:color w:val="808080" w:themeColor="background1" w:themeShade="80"/>
          <w:sz w:val="24"/>
          <w:szCs w:val="24"/>
        </w:rPr>
        <w:t xml:space="preserve">As apresentações </w:t>
      </w:r>
      <w:r w:rsidR="00844BDB" w:rsidRPr="00ED1CC7">
        <w:rPr>
          <w:rFonts w:ascii="NewsGotT" w:hAnsi="NewsGotT"/>
          <w:color w:val="808080" w:themeColor="background1" w:themeShade="80"/>
          <w:sz w:val="24"/>
          <w:szCs w:val="24"/>
        </w:rPr>
        <w:t>visam</w:t>
      </w:r>
      <w:r w:rsidR="0045479C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a partilha e o confronto de ideias</w:t>
      </w:r>
      <w:r w:rsidR="001A3DE7">
        <w:rPr>
          <w:rFonts w:ascii="NewsGotT" w:hAnsi="NewsGotT"/>
          <w:color w:val="808080" w:themeColor="background1" w:themeShade="80"/>
          <w:sz w:val="24"/>
          <w:szCs w:val="24"/>
        </w:rPr>
        <w:t>,</w:t>
      </w:r>
      <w:r w:rsidR="0045479C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modos de atuação, técnicas e instrumentos de representação. </w:t>
      </w:r>
      <w:r w:rsidR="007702CB" w:rsidRPr="00ED1CC7">
        <w:rPr>
          <w:rFonts w:ascii="NewsGotT" w:hAnsi="NewsGotT"/>
          <w:color w:val="808080" w:themeColor="background1" w:themeShade="80"/>
          <w:sz w:val="24"/>
          <w:szCs w:val="24"/>
        </w:rPr>
        <w:t>A pro</w:t>
      </w:r>
      <w:r w:rsidR="0045479C" w:rsidRPr="00ED1CC7">
        <w:rPr>
          <w:rFonts w:ascii="NewsGotT" w:hAnsi="NewsGotT"/>
          <w:color w:val="808080" w:themeColor="background1" w:themeShade="80"/>
          <w:sz w:val="24"/>
          <w:szCs w:val="24"/>
        </w:rPr>
        <w:t>gressão entre fases, mediada pelos</w:t>
      </w:r>
      <w:r w:rsidR="007702CB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pontos de situ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>ação e entregas formais, permitirá</w:t>
      </w:r>
      <w:r w:rsidR="007702CB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não só que os estudantes adquiram consciência do trabalho realizado, mas também que este seja constantemente aferido até à sua entrega final.</w:t>
      </w:r>
    </w:p>
    <w:p w14:paraId="252E11E3" w14:textId="39841D06" w:rsidR="007702CB" w:rsidRPr="00ED1CC7" w:rsidRDefault="00974807" w:rsidP="00ED1CC7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>Esta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>s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metodologia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>s</w:t>
      </w: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="007702CB" w:rsidRPr="00ED1CC7">
        <w:rPr>
          <w:rFonts w:ascii="NewsGotT" w:hAnsi="NewsGotT"/>
          <w:color w:val="808080" w:themeColor="background1" w:themeShade="80"/>
          <w:sz w:val="24"/>
          <w:szCs w:val="24"/>
        </w:rPr>
        <w:t>pretend</w:t>
      </w:r>
      <w:r w:rsidR="007B7B1C">
        <w:rPr>
          <w:rFonts w:ascii="NewsGotT" w:hAnsi="NewsGotT"/>
          <w:color w:val="808080" w:themeColor="background1" w:themeShade="80"/>
          <w:sz w:val="24"/>
          <w:szCs w:val="24"/>
        </w:rPr>
        <w:t>em</w:t>
      </w:r>
      <w:r w:rsidR="007702CB" w:rsidRPr="00ED1CC7">
        <w:rPr>
          <w:rFonts w:ascii="NewsGotT" w:hAnsi="NewsGotT"/>
          <w:color w:val="808080" w:themeColor="background1" w:themeShade="80"/>
          <w:sz w:val="24"/>
          <w:szCs w:val="24"/>
        </w:rPr>
        <w:t xml:space="preserve"> transmitir que o modo de intervir na paisagem é, cada vez mais, compartilhado por diversas formações disciplinares que se complementam, privilegiando-se o desenvolvimento de apetências do estudante para o trabalho em equipa. Por outro lado, a aproximação metodológica às diferentes fases do exercício, permite desenvolver a autonomia do aluno face à seleção dos métodos de investigação e à criação de estratégias e programas que determinam o seu próprio enunciado do projeto de intervenção.</w:t>
      </w:r>
    </w:p>
    <w:p w14:paraId="304AEDC6" w14:textId="1ADA0557" w:rsidR="001A3DE7" w:rsidRDefault="001A3DE7" w:rsidP="00554DDD">
      <w:pPr>
        <w:rPr>
          <w:rFonts w:ascii="NewsGotT" w:hAnsi="NewsGotT"/>
          <w:color w:val="FF0000"/>
          <w:sz w:val="24"/>
          <w:szCs w:val="24"/>
        </w:rPr>
      </w:pPr>
    </w:p>
    <w:p w14:paraId="49F452C1" w14:textId="4222727B" w:rsidR="00186B91" w:rsidRDefault="00186B91" w:rsidP="00186B91">
      <w:pPr>
        <w:jc w:val="both"/>
        <w:rPr>
          <w:rFonts w:ascii="NewsGotT" w:hAnsi="NewsGotT"/>
          <w:b/>
          <w:sz w:val="24"/>
          <w:szCs w:val="24"/>
        </w:rPr>
      </w:pPr>
      <w:r>
        <w:rPr>
          <w:rFonts w:ascii="NewsGotT" w:hAnsi="NewsGotT"/>
          <w:b/>
          <w:sz w:val="24"/>
          <w:szCs w:val="24"/>
        </w:rPr>
        <w:t>4.23.16. Bibliografia de consulta/existência obrigatória (PT):</w:t>
      </w:r>
    </w:p>
    <w:p w14:paraId="63DA34F6" w14:textId="375EF98A" w:rsidR="0002681F" w:rsidRPr="0002681F" w:rsidRDefault="001678E2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Á</w:t>
      </w:r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>balos</w:t>
      </w:r>
      <w:proofErr w:type="spellEnd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I. (2005). </w:t>
      </w:r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Atlas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pintoresco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(vol.1): el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observatorio</w:t>
      </w:r>
      <w:proofErr w:type="spellEnd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Editorial Gustavo </w:t>
      </w:r>
      <w:proofErr w:type="spellStart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>Gili</w:t>
      </w:r>
      <w:proofErr w:type="spellEnd"/>
    </w:p>
    <w:p w14:paraId="452EA28D" w14:textId="77777777" w:rsidR="0002681F" w:rsidRPr="0002681F" w:rsidRDefault="0002681F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Ábalos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I. (2009).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Naturaleza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y artificio: el ideal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pintoresco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en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la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arquitectura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y el paisagismo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contemporáneos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Editorial Gustavo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Gili</w:t>
      </w:r>
      <w:proofErr w:type="spellEnd"/>
    </w:p>
    <w:p w14:paraId="291EC541" w14:textId="5F4B96D1" w:rsidR="0002681F" w:rsidRPr="0002681F" w:rsidRDefault="00114871" w:rsidP="0002681F">
      <w:pPr>
        <w:spacing w:line="276" w:lineRule="auto"/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Batlle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, E. </w:t>
      </w:r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(2011). </w:t>
      </w:r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El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jardín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de la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metrópoli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.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Del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paisaje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romántico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al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espacio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libre para una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ciudad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sostenible</w:t>
      </w:r>
      <w:proofErr w:type="spellEnd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. Editorial Gustavo </w:t>
      </w:r>
      <w:proofErr w:type="spellStart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>Gili</w:t>
      </w:r>
      <w:proofErr w:type="spellEnd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>.</w:t>
      </w:r>
    </w:p>
    <w:p w14:paraId="1C8213C6" w14:textId="77777777" w:rsidR="0002681F" w:rsidRPr="0002681F" w:rsidRDefault="0002681F" w:rsidP="0002681F">
      <w:pPr>
        <w:spacing w:line="276" w:lineRule="auto"/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Colafranceschi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D. (2007).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Landscape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+ 100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palabras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para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habitarlo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. Editorial Gustavo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Gili</w:t>
      </w:r>
      <w:proofErr w:type="spellEnd"/>
    </w:p>
    <w:p w14:paraId="453D5F82" w14:textId="4B0BE7CA" w:rsidR="0002681F" w:rsidRPr="0002681F" w:rsidRDefault="0002681F" w:rsidP="0002681F">
      <w:pPr>
        <w:spacing w:line="276" w:lineRule="auto"/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Corajoud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, M.</w:t>
      </w:r>
      <w:r w:rsidR="00114871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(2010).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paysage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c’est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l’endroit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où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ciel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et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la terre se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touchent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.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Actes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Sud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/ENSP</w:t>
      </w:r>
    </w:p>
    <w:p w14:paraId="5E85CA21" w14:textId="77777777" w:rsidR="0002681F" w:rsidRPr="0002681F" w:rsidRDefault="0002681F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Corner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J.,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Maclean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A. (1996).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Taking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measures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across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the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american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landscape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Yale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University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Press</w:t>
      </w:r>
      <w:proofErr w:type="spellEnd"/>
    </w:p>
    <w:p w14:paraId="4DA82DE7" w14:textId="77777777" w:rsidR="0002681F" w:rsidRPr="0002681F" w:rsidRDefault="0002681F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Corner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J. (1999).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Recovering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Landscape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Essays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in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Contemporary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Landscape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Architecture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Pinceton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Architectural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Press</w:t>
      </w:r>
      <w:proofErr w:type="spellEnd"/>
    </w:p>
    <w:p w14:paraId="47F5CF8F" w14:textId="77777777" w:rsidR="0002681F" w:rsidRPr="0002681F" w:rsidRDefault="0002681F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Galí-zard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T. (2005). </w:t>
      </w:r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Los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mismos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paisajes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Ideas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e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interpretaciones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. Editorial Gustavo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Gili</w:t>
      </w:r>
      <w:proofErr w:type="spellEnd"/>
    </w:p>
    <w:p w14:paraId="3C287638" w14:textId="77777777" w:rsidR="0002681F" w:rsidRPr="0002681F" w:rsidRDefault="0002681F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bookmarkStart w:id="0" w:name="_GoBack"/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Foxley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A. (2010).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Distance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and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Engagement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.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Walking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,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Thinking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and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Making</w:t>
      </w:r>
      <w:proofErr w:type="spellEnd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Landscape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Lars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</w:t>
      </w:r>
      <w:proofErr w:type="spellStart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>Müller</w:t>
      </w:r>
      <w:proofErr w:type="spellEnd"/>
      <w:r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 Publishers</w:t>
      </w:r>
    </w:p>
    <w:bookmarkEnd w:id="0"/>
    <w:p w14:paraId="774C10F1" w14:textId="7065110E" w:rsidR="0002681F" w:rsidRPr="0002681F" w:rsidRDefault="00114871" w:rsidP="0002681F">
      <w:pPr>
        <w:spacing w:line="276" w:lineRule="auto"/>
        <w:rPr>
          <w:rFonts w:ascii="NewsGotT" w:hAnsi="NewsGotT"/>
          <w:color w:val="808080" w:themeColor="background1" w:themeShade="80"/>
          <w:sz w:val="24"/>
          <w:szCs w:val="24"/>
        </w:rPr>
      </w:pP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Zimmermann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>, A. (ed.) (</w:t>
      </w:r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2011). </w:t>
      </w:r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Construir el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Paisaje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.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Materiales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, </w:t>
      </w:r>
      <w:proofErr w:type="spellStart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>tecnicas</w:t>
      </w:r>
      <w:proofErr w:type="spellEnd"/>
      <w:r w:rsidR="0002681F" w:rsidRPr="0002681F">
        <w:rPr>
          <w:rFonts w:ascii="NewsGotT" w:hAnsi="NewsGotT"/>
          <w:i/>
          <w:color w:val="808080" w:themeColor="background1" w:themeShade="80"/>
          <w:sz w:val="24"/>
          <w:szCs w:val="24"/>
        </w:rPr>
        <w:t xml:space="preserve"> e componentes estruturais</w:t>
      </w:r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 xml:space="preserve">, </w:t>
      </w:r>
      <w:proofErr w:type="spellStart"/>
      <w:r w:rsidR="0002681F" w:rsidRPr="0002681F">
        <w:rPr>
          <w:rFonts w:ascii="NewsGotT" w:hAnsi="NewsGotT"/>
          <w:color w:val="808080" w:themeColor="background1" w:themeShade="80"/>
          <w:sz w:val="24"/>
          <w:szCs w:val="24"/>
        </w:rPr>
        <w:t>BirKhauser</w:t>
      </w:r>
      <w:proofErr w:type="spellEnd"/>
    </w:p>
    <w:p w14:paraId="50714831" w14:textId="77777777" w:rsidR="0025729F" w:rsidRDefault="0025729F" w:rsidP="00186B91">
      <w:pPr>
        <w:jc w:val="both"/>
        <w:rPr>
          <w:rFonts w:ascii="NewsGotT" w:hAnsi="NewsGotT"/>
          <w:b/>
          <w:bCs/>
          <w:sz w:val="24"/>
          <w:szCs w:val="24"/>
        </w:rPr>
      </w:pPr>
    </w:p>
    <w:p w14:paraId="1E3ED58D" w14:textId="2E1400D9" w:rsidR="00186B91" w:rsidRDefault="00186B91" w:rsidP="00186B91">
      <w:pPr>
        <w:jc w:val="both"/>
        <w:rPr>
          <w:rFonts w:ascii="NewsGotT" w:hAnsi="NewsGotT"/>
          <w:b/>
          <w:bCs/>
          <w:sz w:val="28"/>
          <w:szCs w:val="28"/>
        </w:rPr>
      </w:pPr>
      <w:r>
        <w:rPr>
          <w:rFonts w:ascii="NewsGotT" w:hAnsi="NewsGotT"/>
          <w:b/>
          <w:bCs/>
          <w:sz w:val="24"/>
          <w:szCs w:val="24"/>
        </w:rPr>
        <w:t>4.23.17. Observações (PT):</w:t>
      </w:r>
    </w:p>
    <w:p w14:paraId="6B9340C9" w14:textId="77777777" w:rsidR="00186B91" w:rsidRDefault="00186B91" w:rsidP="00186B91">
      <w:pPr>
        <w:jc w:val="both"/>
        <w:rPr>
          <w:rFonts w:ascii="NewsGotT" w:hAnsi="NewsGotT"/>
          <w:color w:val="808080" w:themeColor="background1" w:themeShade="80"/>
          <w:sz w:val="24"/>
          <w:szCs w:val="24"/>
        </w:rPr>
      </w:pPr>
      <w:r>
        <w:rPr>
          <w:rFonts w:ascii="NewsGotT" w:hAnsi="NewsGotT"/>
          <w:color w:val="808080" w:themeColor="background1" w:themeShade="80"/>
          <w:sz w:val="24"/>
          <w:szCs w:val="24"/>
        </w:rPr>
        <w:t xml:space="preserve">(limite </w:t>
      </w:r>
      <w:proofErr w:type="spellStart"/>
      <w:r>
        <w:rPr>
          <w:rFonts w:ascii="NewsGotT" w:hAnsi="NewsGotT"/>
          <w:color w:val="808080" w:themeColor="background1" w:themeShade="80"/>
          <w:sz w:val="24"/>
          <w:szCs w:val="24"/>
        </w:rPr>
        <w:t>máx</w:t>
      </w:r>
      <w:proofErr w:type="spellEnd"/>
      <w:r>
        <w:rPr>
          <w:rFonts w:ascii="NewsGotT" w:hAnsi="NewsGotT"/>
          <w:color w:val="808080" w:themeColor="background1" w:themeShade="80"/>
          <w:sz w:val="24"/>
          <w:szCs w:val="24"/>
        </w:rPr>
        <w:t>. de 1000 caracteres)</w:t>
      </w:r>
    </w:p>
    <w:p w14:paraId="0B295290" w14:textId="77777777" w:rsidR="00186B91" w:rsidRDefault="00186B91" w:rsidP="00186B91">
      <w:pPr>
        <w:jc w:val="both"/>
        <w:rPr>
          <w:rFonts w:ascii="NewsGotT" w:hAnsi="NewsGotT"/>
          <w:b/>
          <w:sz w:val="28"/>
          <w:szCs w:val="28"/>
        </w:rPr>
      </w:pPr>
    </w:p>
    <w:p w14:paraId="0398E10D" w14:textId="3A54832E" w:rsidR="00FF47FE" w:rsidRDefault="00FF47FE" w:rsidP="002534C1"/>
    <w:p w14:paraId="31FBE328" w14:textId="573956E6" w:rsidR="00FF47FE" w:rsidRDefault="00FF47FE" w:rsidP="002534C1"/>
    <w:sectPr w:rsidR="00FF47FE" w:rsidSect="00F953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1A4449"/>
    <w:multiLevelType w:val="hybridMultilevel"/>
    <w:tmpl w:val="F2146E1A"/>
    <w:lvl w:ilvl="0" w:tplc="5E265596">
      <w:start w:val="1"/>
      <w:numFmt w:val="decimal"/>
      <w:lvlText w:val="%1."/>
      <w:lvlJc w:val="left"/>
      <w:pPr>
        <w:ind w:left="326" w:hanging="204"/>
      </w:pPr>
      <w:rPr>
        <w:rFonts w:ascii="Calibri" w:eastAsia="Calibri" w:hAnsi="Calibri" w:cs="Calibri" w:hint="default"/>
        <w:b/>
        <w:bCs/>
        <w:w w:val="99"/>
        <w:sz w:val="20"/>
        <w:szCs w:val="20"/>
        <w:lang w:val="pt-PT" w:eastAsia="en-US" w:bidi="ar-SA"/>
      </w:rPr>
    </w:lvl>
    <w:lvl w:ilvl="1" w:tplc="E7380FE2">
      <w:numFmt w:val="bullet"/>
      <w:lvlText w:val="•"/>
      <w:lvlJc w:val="left"/>
      <w:pPr>
        <w:ind w:left="1180" w:hanging="204"/>
      </w:pPr>
      <w:rPr>
        <w:rFonts w:hint="default"/>
        <w:lang w:val="pt-PT" w:eastAsia="en-US" w:bidi="ar-SA"/>
      </w:rPr>
    </w:lvl>
    <w:lvl w:ilvl="2" w:tplc="C7A23376">
      <w:numFmt w:val="bullet"/>
      <w:lvlText w:val="•"/>
      <w:lvlJc w:val="left"/>
      <w:pPr>
        <w:ind w:left="2041" w:hanging="204"/>
      </w:pPr>
      <w:rPr>
        <w:rFonts w:hint="default"/>
        <w:lang w:val="pt-PT" w:eastAsia="en-US" w:bidi="ar-SA"/>
      </w:rPr>
    </w:lvl>
    <w:lvl w:ilvl="3" w:tplc="B1DA8DBE">
      <w:numFmt w:val="bullet"/>
      <w:lvlText w:val="•"/>
      <w:lvlJc w:val="left"/>
      <w:pPr>
        <w:ind w:left="2901" w:hanging="204"/>
      </w:pPr>
      <w:rPr>
        <w:rFonts w:hint="default"/>
        <w:lang w:val="pt-PT" w:eastAsia="en-US" w:bidi="ar-SA"/>
      </w:rPr>
    </w:lvl>
    <w:lvl w:ilvl="4" w:tplc="433CADB0">
      <w:numFmt w:val="bullet"/>
      <w:lvlText w:val="•"/>
      <w:lvlJc w:val="left"/>
      <w:pPr>
        <w:ind w:left="3762" w:hanging="204"/>
      </w:pPr>
      <w:rPr>
        <w:rFonts w:hint="default"/>
        <w:lang w:val="pt-PT" w:eastAsia="en-US" w:bidi="ar-SA"/>
      </w:rPr>
    </w:lvl>
    <w:lvl w:ilvl="5" w:tplc="AA52B892">
      <w:numFmt w:val="bullet"/>
      <w:lvlText w:val="•"/>
      <w:lvlJc w:val="left"/>
      <w:pPr>
        <w:ind w:left="4623" w:hanging="204"/>
      </w:pPr>
      <w:rPr>
        <w:rFonts w:hint="default"/>
        <w:lang w:val="pt-PT" w:eastAsia="en-US" w:bidi="ar-SA"/>
      </w:rPr>
    </w:lvl>
    <w:lvl w:ilvl="6" w:tplc="55FC071A">
      <w:numFmt w:val="bullet"/>
      <w:lvlText w:val="•"/>
      <w:lvlJc w:val="left"/>
      <w:pPr>
        <w:ind w:left="5483" w:hanging="204"/>
      </w:pPr>
      <w:rPr>
        <w:rFonts w:hint="default"/>
        <w:lang w:val="pt-PT" w:eastAsia="en-US" w:bidi="ar-SA"/>
      </w:rPr>
    </w:lvl>
    <w:lvl w:ilvl="7" w:tplc="D5605B7C">
      <w:numFmt w:val="bullet"/>
      <w:lvlText w:val="•"/>
      <w:lvlJc w:val="left"/>
      <w:pPr>
        <w:ind w:left="6344" w:hanging="204"/>
      </w:pPr>
      <w:rPr>
        <w:rFonts w:hint="default"/>
        <w:lang w:val="pt-PT" w:eastAsia="en-US" w:bidi="ar-SA"/>
      </w:rPr>
    </w:lvl>
    <w:lvl w:ilvl="8" w:tplc="049A01F6">
      <w:numFmt w:val="bullet"/>
      <w:lvlText w:val="•"/>
      <w:lvlJc w:val="left"/>
      <w:pPr>
        <w:ind w:left="7205" w:hanging="204"/>
      </w:pPr>
      <w:rPr>
        <w:rFonts w:hint="default"/>
        <w:lang w:val="pt-PT" w:eastAsia="en-US" w:bidi="ar-SA"/>
      </w:rPr>
    </w:lvl>
  </w:abstractNum>
  <w:abstractNum w:abstractNumId="1" w15:restartNumberingAfterBreak="0">
    <w:nsid w:val="5B4E02F5"/>
    <w:multiLevelType w:val="hybridMultilevel"/>
    <w:tmpl w:val="6FA0A4B2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66723E"/>
    <w:multiLevelType w:val="hybridMultilevel"/>
    <w:tmpl w:val="87E4AA8C"/>
    <w:lvl w:ilvl="0" w:tplc="B8947F6A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140" w:hanging="360"/>
      </w:pPr>
    </w:lvl>
    <w:lvl w:ilvl="2" w:tplc="0816001B" w:tentative="1">
      <w:start w:val="1"/>
      <w:numFmt w:val="lowerRoman"/>
      <w:lvlText w:val="%3."/>
      <w:lvlJc w:val="right"/>
      <w:pPr>
        <w:ind w:left="1860" w:hanging="180"/>
      </w:pPr>
    </w:lvl>
    <w:lvl w:ilvl="3" w:tplc="0816000F" w:tentative="1">
      <w:start w:val="1"/>
      <w:numFmt w:val="decimal"/>
      <w:lvlText w:val="%4."/>
      <w:lvlJc w:val="left"/>
      <w:pPr>
        <w:ind w:left="2580" w:hanging="360"/>
      </w:pPr>
    </w:lvl>
    <w:lvl w:ilvl="4" w:tplc="08160019" w:tentative="1">
      <w:start w:val="1"/>
      <w:numFmt w:val="lowerLetter"/>
      <w:lvlText w:val="%5."/>
      <w:lvlJc w:val="left"/>
      <w:pPr>
        <w:ind w:left="3300" w:hanging="360"/>
      </w:pPr>
    </w:lvl>
    <w:lvl w:ilvl="5" w:tplc="0816001B" w:tentative="1">
      <w:start w:val="1"/>
      <w:numFmt w:val="lowerRoman"/>
      <w:lvlText w:val="%6."/>
      <w:lvlJc w:val="right"/>
      <w:pPr>
        <w:ind w:left="4020" w:hanging="180"/>
      </w:pPr>
    </w:lvl>
    <w:lvl w:ilvl="6" w:tplc="0816000F" w:tentative="1">
      <w:start w:val="1"/>
      <w:numFmt w:val="decimal"/>
      <w:lvlText w:val="%7."/>
      <w:lvlJc w:val="left"/>
      <w:pPr>
        <w:ind w:left="4740" w:hanging="360"/>
      </w:pPr>
    </w:lvl>
    <w:lvl w:ilvl="7" w:tplc="08160019" w:tentative="1">
      <w:start w:val="1"/>
      <w:numFmt w:val="lowerLetter"/>
      <w:lvlText w:val="%8."/>
      <w:lvlJc w:val="left"/>
      <w:pPr>
        <w:ind w:left="5460" w:hanging="360"/>
      </w:pPr>
    </w:lvl>
    <w:lvl w:ilvl="8" w:tplc="0816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4C1"/>
    <w:rsid w:val="00007346"/>
    <w:rsid w:val="0001546A"/>
    <w:rsid w:val="00020C9C"/>
    <w:rsid w:val="0002681F"/>
    <w:rsid w:val="0003217B"/>
    <w:rsid w:val="00063F25"/>
    <w:rsid w:val="000E7F20"/>
    <w:rsid w:val="00114871"/>
    <w:rsid w:val="001368FB"/>
    <w:rsid w:val="00136C9F"/>
    <w:rsid w:val="0014727D"/>
    <w:rsid w:val="00162557"/>
    <w:rsid w:val="001678E2"/>
    <w:rsid w:val="00186B91"/>
    <w:rsid w:val="0019105B"/>
    <w:rsid w:val="001A3DE7"/>
    <w:rsid w:val="001B098A"/>
    <w:rsid w:val="001B3793"/>
    <w:rsid w:val="001C2E2E"/>
    <w:rsid w:val="001D1638"/>
    <w:rsid w:val="001F59D9"/>
    <w:rsid w:val="00206DDD"/>
    <w:rsid w:val="0021081B"/>
    <w:rsid w:val="00223EE0"/>
    <w:rsid w:val="00223EED"/>
    <w:rsid w:val="00227895"/>
    <w:rsid w:val="00227A2D"/>
    <w:rsid w:val="00250D78"/>
    <w:rsid w:val="002534C1"/>
    <w:rsid w:val="0025729F"/>
    <w:rsid w:val="00257EFB"/>
    <w:rsid w:val="00261D41"/>
    <w:rsid w:val="00262674"/>
    <w:rsid w:val="002648DE"/>
    <w:rsid w:val="0026643E"/>
    <w:rsid w:val="00272A30"/>
    <w:rsid w:val="002C59F1"/>
    <w:rsid w:val="002D28E1"/>
    <w:rsid w:val="002D634D"/>
    <w:rsid w:val="002F5CC2"/>
    <w:rsid w:val="00302D14"/>
    <w:rsid w:val="00305782"/>
    <w:rsid w:val="00310A8E"/>
    <w:rsid w:val="00310ADE"/>
    <w:rsid w:val="0031183C"/>
    <w:rsid w:val="00313AE5"/>
    <w:rsid w:val="003236B4"/>
    <w:rsid w:val="003352EF"/>
    <w:rsid w:val="003512EB"/>
    <w:rsid w:val="00367C54"/>
    <w:rsid w:val="0038552B"/>
    <w:rsid w:val="00387AF8"/>
    <w:rsid w:val="00396F22"/>
    <w:rsid w:val="003A283C"/>
    <w:rsid w:val="003A5233"/>
    <w:rsid w:val="003B5603"/>
    <w:rsid w:val="003D2287"/>
    <w:rsid w:val="003D47D7"/>
    <w:rsid w:val="003D5A67"/>
    <w:rsid w:val="003D5B2D"/>
    <w:rsid w:val="003E37CA"/>
    <w:rsid w:val="003E4914"/>
    <w:rsid w:val="003E4BFC"/>
    <w:rsid w:val="003F4891"/>
    <w:rsid w:val="0042029A"/>
    <w:rsid w:val="00430511"/>
    <w:rsid w:val="004508B5"/>
    <w:rsid w:val="0045479C"/>
    <w:rsid w:val="00464ECE"/>
    <w:rsid w:val="004A3EE8"/>
    <w:rsid w:val="004B1044"/>
    <w:rsid w:val="004B784A"/>
    <w:rsid w:val="004C505F"/>
    <w:rsid w:val="004F0BA5"/>
    <w:rsid w:val="004F56CB"/>
    <w:rsid w:val="00506E8A"/>
    <w:rsid w:val="00526514"/>
    <w:rsid w:val="00554DDD"/>
    <w:rsid w:val="00556149"/>
    <w:rsid w:val="00575052"/>
    <w:rsid w:val="0058379F"/>
    <w:rsid w:val="005963B9"/>
    <w:rsid w:val="005A1386"/>
    <w:rsid w:val="005C33F6"/>
    <w:rsid w:val="005E3C07"/>
    <w:rsid w:val="005F0F20"/>
    <w:rsid w:val="005F7F97"/>
    <w:rsid w:val="0060589E"/>
    <w:rsid w:val="00607507"/>
    <w:rsid w:val="0062783A"/>
    <w:rsid w:val="00634336"/>
    <w:rsid w:val="006543E3"/>
    <w:rsid w:val="00690BF1"/>
    <w:rsid w:val="0069607C"/>
    <w:rsid w:val="006979F5"/>
    <w:rsid w:val="006C3707"/>
    <w:rsid w:val="006F4DC2"/>
    <w:rsid w:val="00701C15"/>
    <w:rsid w:val="007142D7"/>
    <w:rsid w:val="007342DD"/>
    <w:rsid w:val="00745D84"/>
    <w:rsid w:val="00760CA0"/>
    <w:rsid w:val="0076776F"/>
    <w:rsid w:val="007702CB"/>
    <w:rsid w:val="0077466B"/>
    <w:rsid w:val="007B5501"/>
    <w:rsid w:val="007B7B1C"/>
    <w:rsid w:val="007D2E8B"/>
    <w:rsid w:val="007F1625"/>
    <w:rsid w:val="007F4257"/>
    <w:rsid w:val="0081212E"/>
    <w:rsid w:val="008308B7"/>
    <w:rsid w:val="0084066B"/>
    <w:rsid w:val="00844BDB"/>
    <w:rsid w:val="008945C2"/>
    <w:rsid w:val="008B6EBA"/>
    <w:rsid w:val="008C1B99"/>
    <w:rsid w:val="008C2BCD"/>
    <w:rsid w:val="008E1BCB"/>
    <w:rsid w:val="008E679E"/>
    <w:rsid w:val="008F5429"/>
    <w:rsid w:val="00945A75"/>
    <w:rsid w:val="00962055"/>
    <w:rsid w:val="00970752"/>
    <w:rsid w:val="00974807"/>
    <w:rsid w:val="00982501"/>
    <w:rsid w:val="009A68AD"/>
    <w:rsid w:val="009D2BA1"/>
    <w:rsid w:val="009F2A9A"/>
    <w:rsid w:val="00A01DC4"/>
    <w:rsid w:val="00A23B4F"/>
    <w:rsid w:val="00A35FE1"/>
    <w:rsid w:val="00A41093"/>
    <w:rsid w:val="00A52F7A"/>
    <w:rsid w:val="00A61026"/>
    <w:rsid w:val="00A6300D"/>
    <w:rsid w:val="00A8039B"/>
    <w:rsid w:val="00A83FA7"/>
    <w:rsid w:val="00A86295"/>
    <w:rsid w:val="00AA4270"/>
    <w:rsid w:val="00AC03FA"/>
    <w:rsid w:val="00AC2C0A"/>
    <w:rsid w:val="00AE1A06"/>
    <w:rsid w:val="00B4259C"/>
    <w:rsid w:val="00B90D1C"/>
    <w:rsid w:val="00B95D71"/>
    <w:rsid w:val="00BC1757"/>
    <w:rsid w:val="00BC358E"/>
    <w:rsid w:val="00BC655D"/>
    <w:rsid w:val="00C166E3"/>
    <w:rsid w:val="00C2271A"/>
    <w:rsid w:val="00C33E00"/>
    <w:rsid w:val="00C52604"/>
    <w:rsid w:val="00C56985"/>
    <w:rsid w:val="00C77F5E"/>
    <w:rsid w:val="00CD3ACB"/>
    <w:rsid w:val="00CD41B5"/>
    <w:rsid w:val="00CE15FA"/>
    <w:rsid w:val="00CE76EC"/>
    <w:rsid w:val="00CF1818"/>
    <w:rsid w:val="00CF3183"/>
    <w:rsid w:val="00D0558F"/>
    <w:rsid w:val="00D077F2"/>
    <w:rsid w:val="00D1261E"/>
    <w:rsid w:val="00D31364"/>
    <w:rsid w:val="00D4160A"/>
    <w:rsid w:val="00D461EC"/>
    <w:rsid w:val="00D56842"/>
    <w:rsid w:val="00D86175"/>
    <w:rsid w:val="00DB6D0F"/>
    <w:rsid w:val="00DD2309"/>
    <w:rsid w:val="00E24512"/>
    <w:rsid w:val="00E51B50"/>
    <w:rsid w:val="00E53648"/>
    <w:rsid w:val="00E5690A"/>
    <w:rsid w:val="00E613F3"/>
    <w:rsid w:val="00E614CD"/>
    <w:rsid w:val="00E87A22"/>
    <w:rsid w:val="00EA561F"/>
    <w:rsid w:val="00EC1D6F"/>
    <w:rsid w:val="00EC5E5E"/>
    <w:rsid w:val="00ED1CC7"/>
    <w:rsid w:val="00ED28A7"/>
    <w:rsid w:val="00EE1268"/>
    <w:rsid w:val="00EF7510"/>
    <w:rsid w:val="00F22B26"/>
    <w:rsid w:val="00F26FCD"/>
    <w:rsid w:val="00F41C90"/>
    <w:rsid w:val="00F502A6"/>
    <w:rsid w:val="00F5749A"/>
    <w:rsid w:val="00F77F8B"/>
    <w:rsid w:val="00F818AA"/>
    <w:rsid w:val="00F9037C"/>
    <w:rsid w:val="00F91876"/>
    <w:rsid w:val="00F953E9"/>
    <w:rsid w:val="00FA123F"/>
    <w:rsid w:val="00FB2052"/>
    <w:rsid w:val="00FC1BA1"/>
    <w:rsid w:val="00FF1F73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A0A58"/>
  <w15:chartTrackingRefBased/>
  <w15:docId w15:val="{EE704C01-1885-4C9A-A479-6D63DA523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NewsGotT" w:eastAsiaTheme="minorHAnsi" w:hAnsi="NewsGotT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4C1"/>
    <w:pPr>
      <w:widowControl w:val="0"/>
      <w:autoSpaceDE w:val="0"/>
      <w:autoSpaceDN w:val="0"/>
      <w:spacing w:after="0" w:line="240" w:lineRule="auto"/>
      <w:jc w:val="left"/>
    </w:pPr>
    <w:rPr>
      <w:rFonts w:ascii="Calibri" w:eastAsia="Calibri" w:hAnsi="Calibri" w:cs="Calibri"/>
    </w:rPr>
  </w:style>
  <w:style w:type="paragraph" w:styleId="Cabealho1">
    <w:name w:val="heading 1"/>
    <w:basedOn w:val="Normal"/>
    <w:next w:val="Normal"/>
    <w:link w:val="Cabealho1Carter"/>
    <w:uiPriority w:val="9"/>
    <w:qFormat/>
    <w:rsid w:val="001F59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bealho2">
    <w:name w:val="heading 2"/>
    <w:basedOn w:val="Normal"/>
    <w:link w:val="Cabealho2Carter"/>
    <w:uiPriority w:val="9"/>
    <w:unhideWhenUsed/>
    <w:qFormat/>
    <w:rsid w:val="002534C1"/>
    <w:pPr>
      <w:ind w:left="482"/>
      <w:outlineLvl w:val="1"/>
    </w:pPr>
    <w:rPr>
      <w:b/>
      <w:bCs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2534C1"/>
    <w:rPr>
      <w:rFonts w:ascii="Calibri" w:eastAsia="Calibri" w:hAnsi="Calibri" w:cs="Calibri"/>
      <w:b/>
      <w:bCs/>
    </w:rPr>
  </w:style>
  <w:style w:type="paragraph" w:styleId="Corpodetexto">
    <w:name w:val="Body Text"/>
    <w:basedOn w:val="Normal"/>
    <w:link w:val="CorpodetextoCarter"/>
    <w:uiPriority w:val="1"/>
    <w:qFormat/>
    <w:rsid w:val="002534C1"/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2534C1"/>
    <w:rPr>
      <w:rFonts w:ascii="Calibri" w:eastAsia="Calibri" w:hAnsi="Calibri" w:cs="Calibri"/>
    </w:rPr>
  </w:style>
  <w:style w:type="paragraph" w:styleId="PargrafodaLista">
    <w:name w:val="List Paragraph"/>
    <w:basedOn w:val="Normal"/>
    <w:link w:val="PargrafodaListaCarter"/>
    <w:uiPriority w:val="34"/>
    <w:qFormat/>
    <w:rsid w:val="002534C1"/>
    <w:pPr>
      <w:ind w:left="914" w:hanging="697"/>
    </w:pPr>
  </w:style>
  <w:style w:type="character" w:customStyle="1" w:styleId="PargrafodaListaCarter">
    <w:name w:val="Parágrafo da Lista Caráter"/>
    <w:link w:val="PargrafodaLista"/>
    <w:uiPriority w:val="34"/>
    <w:locked/>
    <w:rsid w:val="00EC1D6F"/>
    <w:rPr>
      <w:rFonts w:ascii="Calibri" w:eastAsia="Calibri" w:hAnsi="Calibri" w:cs="Calibri"/>
    </w:rPr>
  </w:style>
  <w:style w:type="paragraph" w:styleId="NormalWeb">
    <w:name w:val="Normal (Web)"/>
    <w:basedOn w:val="Normal"/>
    <w:uiPriority w:val="99"/>
    <w:unhideWhenUsed/>
    <w:rsid w:val="00D3136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Default">
    <w:name w:val="Default"/>
    <w:rsid w:val="003D47D7"/>
    <w:pPr>
      <w:autoSpaceDE w:val="0"/>
      <w:autoSpaceDN w:val="0"/>
      <w:adjustRightInd w:val="0"/>
      <w:spacing w:after="0" w:line="240" w:lineRule="auto"/>
      <w:jc w:val="left"/>
    </w:pPr>
    <w:rPr>
      <w:rFonts w:cs="NewsGotT"/>
      <w:color w:val="000000"/>
      <w:sz w:val="24"/>
      <w:szCs w:val="24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F59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ligao">
    <w:name w:val="Hyperlink"/>
    <w:basedOn w:val="Tipodeletrapredefinidodopargrafo"/>
    <w:uiPriority w:val="99"/>
    <w:unhideWhenUsed/>
    <w:rsid w:val="007B5501"/>
    <w:rPr>
      <w:color w:val="0000FF"/>
      <w:u w:val="single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BC655D"/>
    <w:rPr>
      <w:color w:val="605E5C"/>
      <w:shd w:val="clear" w:color="auto" w:fill="E1DFDD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227A2D"/>
    <w:rPr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unhideWhenUsed/>
    <w:rsid w:val="00227A2D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semiHidden/>
    <w:rsid w:val="00227A2D"/>
    <w:rPr>
      <w:rFonts w:ascii="Calibri" w:eastAsia="Calibri" w:hAnsi="Calibri" w:cs="Calibri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227A2D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227A2D"/>
    <w:rPr>
      <w:rFonts w:ascii="Calibri" w:eastAsia="Calibri" w:hAnsi="Calibri" w:cs="Calibri"/>
      <w:b/>
      <w:bCs/>
      <w:sz w:val="20"/>
      <w:szCs w:val="2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27A2D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27A2D"/>
    <w:rPr>
      <w:rFonts w:ascii="Segoe UI" w:eastAsia="Calibri" w:hAnsi="Segoe UI" w:cs="Segoe UI"/>
      <w:sz w:val="18"/>
      <w:szCs w:val="18"/>
    </w:rPr>
  </w:style>
  <w:style w:type="character" w:customStyle="1" w:styleId="A2">
    <w:name w:val="A2"/>
    <w:rsid w:val="00262674"/>
    <w:rPr>
      <w:color w:val="9300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22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57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6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85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5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84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8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7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9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54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06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7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84476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96982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3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38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8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088376">
                                      <w:marLeft w:val="0"/>
                                      <w:marRight w:val="79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8225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7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21624">
                      <w:marLeft w:val="0"/>
                      <w:marRight w:val="7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897496">
                              <w:marLeft w:val="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7201579">
          <w:marLeft w:val="0"/>
          <w:marRight w:val="50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9CDC-6A60-4B0E-8822-42B99EF05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1291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Adriana Maciel Oliveira</dc:creator>
  <cp:keywords/>
  <dc:description/>
  <cp:lastModifiedBy>rute carlos</cp:lastModifiedBy>
  <cp:revision>6</cp:revision>
  <cp:lastPrinted>2024-07-20T16:03:00Z</cp:lastPrinted>
  <dcterms:created xsi:type="dcterms:W3CDTF">2024-07-20T17:34:00Z</dcterms:created>
  <dcterms:modified xsi:type="dcterms:W3CDTF">2024-07-21T10:01:00Z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edoclink_DocumentConvertToPdf">
    <vt:lpwstr/>
  </property>
  <property fmtid="{D5CDD505-2E9C-101B-9397-08002B2CF9AE}" pid="3" name="_e-doclink_UrlBase">
    <vt:lpwstr>https://docum.uminho.pt/</vt:lpwstr>
  </property>
  <property fmtid="{D5CDD505-2E9C-101B-9397-08002B2CF9AE}" pid="4" name="_edoclink_DocumentKey">
    <vt:lpwstr>1cf9325c-f372-4d96-8db6-ad1abf27a126</vt:lpwstr>
  </property>
  <property fmtid="{D5CDD505-2E9C-101B-9397-08002B2CF9AE}" pid="5" name="_edoclink_DocumentVersion">
    <vt:lpwstr>1</vt:lpwstr>
  </property>
  <property fmtid="{D5CDD505-2E9C-101B-9397-08002B2CF9AE}" pid="6" name="_edoclink_StageKey">
    <vt:lpwstr>075152a9-620d-ef11-b95e-b496917907c6</vt:lpwstr>
  </property>
  <property fmtid="{D5CDD505-2E9C-101B-9397-08002B2CF9AE}" pid="7" name="_edoclink_ContainerType">
    <vt:lpwstr>Distribution</vt:lpwstr>
  </property>
  <property fmtid="{D5CDD505-2E9C-101B-9397-08002B2CF9AE}" pid="8" name="_edoclink_ContainerKey">
    <vt:lpwstr>ef119ee5-d2fb-ee11-b95e-b496917907c6</vt:lpwstr>
  </property>
</Properties>
</file>